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443" w:rsidRPr="00CA0856" w:rsidRDefault="008D3443" w:rsidP="008B772D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443" w:rsidRPr="00CA0856" w:rsidRDefault="008D3443" w:rsidP="008D34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443" w:rsidRPr="00CA0856" w:rsidRDefault="008D3443" w:rsidP="008D34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A0856">
        <w:rPr>
          <w:rFonts w:ascii="Times New Roman" w:hAnsi="Times New Roman" w:cs="Times New Roman"/>
          <w:b/>
          <w:sz w:val="24"/>
          <w:szCs w:val="24"/>
          <w:lang w:val="en-US"/>
        </w:rPr>
        <w:t>Application for access to documents concerning the applicant, their deceased next of kin or relative, submitted pursuant to Article 30 (1) of the Act on the Institute of National Remembrance</w:t>
      </w:r>
      <w:r w:rsidRPr="00CA08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0856">
        <w:rPr>
          <w:rFonts w:ascii="Times New Roman" w:hAnsi="Times New Roman" w:cs="Times New Roman"/>
          <w:b/>
          <w:sz w:val="24"/>
          <w:szCs w:val="24"/>
          <w:lang w:val="en-US"/>
        </w:rPr>
        <w:t>of 18 December 1998 (consolidated text a</w:t>
      </w:r>
      <w:r w:rsidR="00E93F23" w:rsidRPr="00CA08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s of 28 January 2021, </w:t>
      </w:r>
      <w:r w:rsidRPr="00CA0856">
        <w:rPr>
          <w:rFonts w:ascii="Times New Roman" w:hAnsi="Times New Roman" w:cs="Times New Roman"/>
          <w:b/>
          <w:sz w:val="24"/>
          <w:szCs w:val="24"/>
          <w:lang w:val="en-US"/>
        </w:rPr>
        <w:t>Journal of Laws of 2021</w:t>
      </w:r>
      <w:r w:rsidR="00E93F23" w:rsidRPr="00CA0856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CA08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item 177)</w:t>
      </w:r>
    </w:p>
    <w:p w:rsidR="008D3443" w:rsidRPr="00CA0856" w:rsidRDefault="008D3443" w:rsidP="008D34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443" w:rsidRPr="00CA0856" w:rsidRDefault="008D3443" w:rsidP="008D34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0856">
        <w:rPr>
          <w:rFonts w:ascii="Times New Roman" w:hAnsi="Times New Roman" w:cs="Times New Roman"/>
          <w:sz w:val="24"/>
          <w:szCs w:val="24"/>
          <w:lang w:val="en-US"/>
        </w:rPr>
        <w:t xml:space="preserve">Any person </w:t>
      </w:r>
      <w:r w:rsidR="00E93F23" w:rsidRPr="00CA0856">
        <w:rPr>
          <w:rFonts w:ascii="Times New Roman" w:hAnsi="Times New Roman" w:cs="Times New Roman"/>
          <w:sz w:val="24"/>
          <w:szCs w:val="24"/>
          <w:lang w:val="en-US"/>
        </w:rPr>
        <w:t xml:space="preserve">can apply to the IPN for access to the archived records </w:t>
      </w:r>
      <w:r w:rsidR="00192F88">
        <w:rPr>
          <w:rFonts w:ascii="Times New Roman" w:hAnsi="Times New Roman" w:cs="Times New Roman"/>
          <w:sz w:val="24"/>
          <w:szCs w:val="24"/>
          <w:lang w:val="en-US"/>
        </w:rPr>
        <w:t>related to them,</w:t>
      </w:r>
      <w:r w:rsidR="00E93F23" w:rsidRPr="00CA08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0856">
        <w:rPr>
          <w:rFonts w:ascii="Times New Roman" w:hAnsi="Times New Roman" w:cs="Times New Roman"/>
          <w:sz w:val="24"/>
          <w:szCs w:val="24"/>
          <w:lang w:val="en-US"/>
        </w:rPr>
        <w:t xml:space="preserve">or concerning </w:t>
      </w:r>
      <w:r w:rsidR="00192F88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CA0856">
        <w:rPr>
          <w:rFonts w:ascii="Times New Roman" w:hAnsi="Times New Roman" w:cs="Times New Roman"/>
          <w:sz w:val="24"/>
          <w:szCs w:val="24"/>
          <w:lang w:val="en-US"/>
        </w:rPr>
        <w:t>deceased next of kin</w:t>
      </w:r>
      <w:r w:rsidR="00192F8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A0856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="00192F88">
        <w:rPr>
          <w:rFonts w:ascii="Times New Roman" w:hAnsi="Times New Roman" w:cs="Times New Roman"/>
          <w:sz w:val="24"/>
          <w:szCs w:val="24"/>
          <w:lang w:val="en-US"/>
        </w:rPr>
        <w:t xml:space="preserve">case of the latter, </w:t>
      </w:r>
      <w:r w:rsidRPr="00CA0856">
        <w:rPr>
          <w:rFonts w:ascii="Times New Roman" w:hAnsi="Times New Roman" w:cs="Times New Roman"/>
          <w:sz w:val="24"/>
          <w:szCs w:val="24"/>
          <w:lang w:val="en-US"/>
        </w:rPr>
        <w:t xml:space="preserve">they are obliged to attach documents </w:t>
      </w:r>
      <w:r w:rsidR="00192F88">
        <w:rPr>
          <w:rFonts w:ascii="Times New Roman" w:hAnsi="Times New Roman" w:cs="Times New Roman"/>
          <w:sz w:val="24"/>
          <w:szCs w:val="24"/>
          <w:lang w:val="en-US"/>
        </w:rPr>
        <w:t>attesting</w:t>
      </w:r>
      <w:r w:rsidRPr="00CA08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F23" w:rsidRPr="00CA08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A0856">
        <w:rPr>
          <w:rFonts w:ascii="Times New Roman" w:hAnsi="Times New Roman" w:cs="Times New Roman"/>
          <w:sz w:val="24"/>
          <w:szCs w:val="24"/>
          <w:lang w:val="en-US"/>
        </w:rPr>
        <w:t>death of the next of kin</w:t>
      </w:r>
      <w:r w:rsidR="00E93F23" w:rsidRPr="00CA085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A0856">
        <w:rPr>
          <w:rFonts w:ascii="Times New Roman" w:hAnsi="Times New Roman" w:cs="Times New Roman"/>
          <w:sz w:val="24"/>
          <w:szCs w:val="24"/>
          <w:lang w:val="en-US"/>
        </w:rPr>
        <w:t xml:space="preserve"> as well as documents confirming the degree of kinship with th</w:t>
      </w:r>
      <w:r w:rsidR="00E93F23" w:rsidRPr="00CA08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A0856">
        <w:rPr>
          <w:rFonts w:ascii="Times New Roman" w:hAnsi="Times New Roman" w:cs="Times New Roman"/>
          <w:sz w:val="24"/>
          <w:szCs w:val="24"/>
          <w:lang w:val="en-US"/>
        </w:rPr>
        <w:t xml:space="preserve"> person</w:t>
      </w:r>
      <w:r w:rsidR="00E93F23" w:rsidRPr="00CA0856">
        <w:rPr>
          <w:rFonts w:ascii="Times New Roman" w:hAnsi="Times New Roman" w:cs="Times New Roman"/>
          <w:sz w:val="24"/>
          <w:szCs w:val="24"/>
          <w:lang w:val="en-US"/>
        </w:rPr>
        <w:t xml:space="preserve"> in question</w:t>
      </w:r>
      <w:r w:rsidRPr="00CA085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3443" w:rsidRPr="00CA0856" w:rsidRDefault="008D3443" w:rsidP="008D3443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D3443" w:rsidRPr="00CA0856" w:rsidRDefault="008D3443" w:rsidP="008D3443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 next of kin is a spouse, ascendant, descendant, sibling, relative by marriage in the same line or degree, an adoptive parent or child, as well as their spouse, and also a cohabitant (Art. 115 § 11 of Penal Code). The applicant is entitled to </w:t>
      </w:r>
      <w:r w:rsidR="00192F88">
        <w:rPr>
          <w:rFonts w:ascii="Times New Roman" w:eastAsia="Times New Roman" w:hAnsi="Times New Roman" w:cs="Times New Roman"/>
          <w:sz w:val="24"/>
          <w:szCs w:val="24"/>
          <w:lang w:val="en-GB"/>
        </w:rPr>
        <w:t>obtain</w:t>
      </w: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access to documents regarding the fate of a collateral relative up to the fourth degree of consanguinity. Collaterals within the fou</w:t>
      </w:r>
      <w:r w:rsidR="00192F88">
        <w:rPr>
          <w:rFonts w:ascii="Times New Roman" w:eastAsia="Times New Roman" w:hAnsi="Times New Roman" w:cs="Times New Roman"/>
          <w:sz w:val="24"/>
          <w:szCs w:val="24"/>
          <w:lang w:val="en-GB"/>
        </w:rPr>
        <w:t>rth degree of consanguinity are</w:t>
      </w: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brother, sister (second degree of consanguinity), uncle, aunt, paternal uncle, paternal aunt, nephew, niece (third degree of consanguinity), son/daughter of a nephew, son/daughter of a niece, sibling of grandparents, son/daughter of an uncle, son/daughter of an aunt, son/daughter of a paternal uncle, son/daughter of a paternal aunt (fourth degree of consanguinity).</w:t>
      </w:r>
    </w:p>
    <w:p w:rsidR="008D3443" w:rsidRPr="00CA0856" w:rsidRDefault="008D3443" w:rsidP="008D3443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D3443" w:rsidRPr="00CA0856" w:rsidRDefault="008D3443" w:rsidP="008D3443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D3443" w:rsidRPr="00CA0856" w:rsidRDefault="008D3443" w:rsidP="008D3443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>Pursuant to Article 30.1 of the Act, everyone may apply for</w:t>
      </w:r>
      <w:r w:rsidRPr="00CA08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access to documents concerning their deceased next of kin or relative</w:t>
      </w: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</w:p>
    <w:p w:rsidR="008D3443" w:rsidRPr="00CA0856" w:rsidRDefault="008D3443" w:rsidP="008D3443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8D3443" w:rsidRPr="00CA0856" w:rsidRDefault="008D3443" w:rsidP="008D3443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D3443" w:rsidRPr="00CA0856" w:rsidRDefault="008D3443" w:rsidP="008D3443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>Required documents:</w:t>
      </w:r>
    </w:p>
    <w:p w:rsidR="008D3443" w:rsidRPr="00CA0856" w:rsidRDefault="008D3443" w:rsidP="008D3443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D3443" w:rsidRPr="00CA0856" w:rsidRDefault="008D3443" w:rsidP="008D344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>Application form</w:t>
      </w:r>
    </w:p>
    <w:p w:rsidR="008D3443" w:rsidRPr="00CA0856" w:rsidRDefault="008D3443" w:rsidP="008D344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>In case of relatives: documents confirming death of the next of kin and documents confirming the degree of kinship with that person</w:t>
      </w:r>
    </w:p>
    <w:p w:rsidR="008D3443" w:rsidRPr="00CA0856" w:rsidRDefault="008D3443" w:rsidP="008D3443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D3443" w:rsidRPr="00CA0856" w:rsidRDefault="008D3443" w:rsidP="008D3443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D3443" w:rsidRPr="00CA0856" w:rsidRDefault="008D3443" w:rsidP="008D3443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D3443" w:rsidRPr="00CA0856" w:rsidRDefault="008D3443" w:rsidP="008D3443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People with permanent residence abroad may submit the application </w:t>
      </w:r>
      <w:r w:rsidRPr="00CA08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in person</w:t>
      </w:r>
      <w:r w:rsidRPr="00192F88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Pr="00CA08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at a Polish consular post</w:t>
      </w: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the applicant’s signature requires authentication by the consul. It is also possible to submit the application </w:t>
      </w:r>
      <w:r w:rsidRPr="00CA08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by mail, provided the applicant’s signature is attested</w:t>
      </w: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by a notary or </w:t>
      </w:r>
      <w:r w:rsidR="00E93F23"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>an</w:t>
      </w: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>other person authorised to authenticate signatures in accordance with the law of  the country where the act is performed.</w:t>
      </w:r>
    </w:p>
    <w:p w:rsidR="008D3443" w:rsidRPr="00CA0856" w:rsidRDefault="008D3443" w:rsidP="008D3443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D3443" w:rsidRPr="00CA0856" w:rsidRDefault="008D3443" w:rsidP="008D3443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D3443" w:rsidRPr="00CA0856" w:rsidRDefault="008D3443" w:rsidP="008D3443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Access to documents based on Article 30.1 of the Act is </w:t>
      </w:r>
      <w:r w:rsidRPr="00CA08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free of charge</w:t>
      </w: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8D3443" w:rsidRPr="00CA0856" w:rsidRDefault="008D3443" w:rsidP="008D3443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8D3443" w:rsidRPr="00CA0856" w:rsidRDefault="008D3443" w:rsidP="008D3443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D3443" w:rsidRPr="00CA0856" w:rsidRDefault="008D3443" w:rsidP="008D344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A085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We </w:t>
      </w:r>
      <w:r w:rsidRPr="00CA08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do not mail</w:t>
      </w:r>
      <w:r w:rsidRPr="00CA085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the located documents.</w:t>
      </w:r>
    </w:p>
    <w:p w:rsidR="008D3443" w:rsidRPr="00CA0856" w:rsidRDefault="008D3443" w:rsidP="008D3443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D3443" w:rsidRPr="00CA0856" w:rsidRDefault="008D3443" w:rsidP="008D3443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D3443" w:rsidRPr="00CA0856" w:rsidRDefault="008D3443" w:rsidP="008D3443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  <w:lang w:val="en-GB"/>
        </w:rPr>
      </w:pPr>
      <w:r w:rsidRPr="00CA0856"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  <w:t xml:space="preserve">Pursuant to Article 40 (4) (5) of the Act of 14 June 1960 – Code of Administrative Procedure (Journal of Laws of 2016, item 23) the party </w:t>
      </w:r>
      <w:r w:rsidR="00E93F23" w:rsidRPr="00CA0856"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  <w:t>which</w:t>
      </w:r>
      <w:r w:rsidRPr="00CA0856"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  <w:t xml:space="preserve"> does not have a domicile</w:t>
      </w:r>
      <w:r w:rsidR="00192F88"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  <w:t>,</w:t>
      </w:r>
      <w:r w:rsidRPr="00CA0856"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  <w:t xml:space="preserve"> a habitual residence or a registered seat in the Republic of Poland or in other member state of the European Union, did not invest anyone with a power of attorney to represent them in the Republic of Poland, and does not act through a Polish consul, </w:t>
      </w:r>
      <w:r w:rsidR="00E93F23" w:rsidRPr="00CA0856"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  <w:t xml:space="preserve">must </w:t>
      </w:r>
      <w:r w:rsidRPr="00CA0856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  <w:lang w:val="en-GB"/>
        </w:rPr>
        <w:t xml:space="preserve">name a representative in the Republic of Poland to receive the delivery of documents – unless the correspondence is </w:t>
      </w:r>
      <w:r w:rsidR="00E93F23" w:rsidRPr="00CA0856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  <w:lang w:val="en-GB"/>
        </w:rPr>
        <w:t xml:space="preserve">to be </w:t>
      </w:r>
      <w:r w:rsidRPr="00CA0856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  <w:lang w:val="en-GB"/>
        </w:rPr>
        <w:t>delivered via e-mail.</w:t>
      </w:r>
    </w:p>
    <w:p w:rsidR="008D3443" w:rsidRPr="00CA0856" w:rsidRDefault="008D3443" w:rsidP="008D3443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</w:pPr>
      <w:r w:rsidRPr="00CA0856"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  <w:t xml:space="preserve"> </w:t>
      </w:r>
    </w:p>
    <w:p w:rsidR="008D3443" w:rsidRPr="00CA0856" w:rsidRDefault="008D3443" w:rsidP="008D3443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</w:pPr>
    </w:p>
    <w:p w:rsidR="008D3443" w:rsidRPr="00CA0856" w:rsidRDefault="008D3443" w:rsidP="008D3443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case no representative is named for delivery service, the correspondence is left in case files with the effect of delivery. The party has the right to submit a response to the letter initiating the proceedings and explanation in writing. The attorney </w:t>
      </w:r>
      <w:r w:rsidR="00777F46"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>must</w:t>
      </w:r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be </w:t>
      </w:r>
      <w:r w:rsidR="00B50AE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 </w:t>
      </w:r>
      <w:bookmarkStart w:id="0" w:name="_GoBack"/>
      <w:bookmarkEnd w:id="0"/>
      <w:r w:rsidRPr="00CA0856">
        <w:rPr>
          <w:rFonts w:ascii="Times New Roman" w:eastAsia="Times New Roman" w:hAnsi="Times New Roman" w:cs="Times New Roman"/>
          <w:sz w:val="24"/>
          <w:szCs w:val="24"/>
          <w:lang w:val="en-GB"/>
        </w:rPr>
        <w:t>natural person with the legal capacity.</w:t>
      </w:r>
    </w:p>
    <w:p w:rsidR="00F710D7" w:rsidRPr="00CA0856" w:rsidRDefault="00F710D7" w:rsidP="00F710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sectPr w:rsidR="00F710D7" w:rsidRPr="00CA0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957E3"/>
    <w:multiLevelType w:val="hybridMultilevel"/>
    <w:tmpl w:val="1242F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C799A"/>
    <w:multiLevelType w:val="hybridMultilevel"/>
    <w:tmpl w:val="4CF24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B3CF6"/>
    <w:multiLevelType w:val="hybridMultilevel"/>
    <w:tmpl w:val="9B20B9A8"/>
    <w:lvl w:ilvl="0" w:tplc="010C8D28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94166"/>
    <w:multiLevelType w:val="hybridMultilevel"/>
    <w:tmpl w:val="DE949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B0EA0"/>
    <w:multiLevelType w:val="hybridMultilevel"/>
    <w:tmpl w:val="2236D6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A69"/>
    <w:rsid w:val="00013705"/>
    <w:rsid w:val="00192F88"/>
    <w:rsid w:val="00193630"/>
    <w:rsid w:val="003E5E8E"/>
    <w:rsid w:val="00427062"/>
    <w:rsid w:val="005D7BC1"/>
    <w:rsid w:val="00777F46"/>
    <w:rsid w:val="007F6FDB"/>
    <w:rsid w:val="0082041A"/>
    <w:rsid w:val="008B772D"/>
    <w:rsid w:val="008D3443"/>
    <w:rsid w:val="00A277F1"/>
    <w:rsid w:val="00B50AEE"/>
    <w:rsid w:val="00CA0856"/>
    <w:rsid w:val="00E80F74"/>
    <w:rsid w:val="00E93F23"/>
    <w:rsid w:val="00F34A69"/>
    <w:rsid w:val="00F7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E417"/>
  <w15:chartTrackingRefBased/>
  <w15:docId w15:val="{71394933-2778-4063-81D5-0FD70FF3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34A69"/>
    <w:pPr>
      <w:spacing w:after="0" w:line="276" w:lineRule="auto"/>
    </w:pPr>
    <w:rPr>
      <w:rFonts w:ascii="Arial" w:eastAsia="Arial" w:hAnsi="Arial" w:cs="Arial"/>
      <w:lang w:val="pl" w:eastAsia="pl-PL"/>
    </w:rPr>
  </w:style>
  <w:style w:type="paragraph" w:styleId="Nagwek2">
    <w:name w:val="heading 2"/>
    <w:basedOn w:val="Normalny"/>
    <w:link w:val="Nagwek2Znak"/>
    <w:uiPriority w:val="9"/>
    <w:qFormat/>
    <w:rsid w:val="007F6F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F6FD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F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013705"/>
    <w:pPr>
      <w:ind w:left="720"/>
      <w:contextualSpacing/>
    </w:pPr>
  </w:style>
  <w:style w:type="paragraph" w:customStyle="1" w:styleId="Default">
    <w:name w:val="Default"/>
    <w:rsid w:val="00F710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F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F88"/>
    <w:rPr>
      <w:rFonts w:ascii="Segoe UI" w:eastAsia="Arial" w:hAnsi="Segoe UI" w:cs="Segoe UI"/>
      <w:sz w:val="18"/>
      <w:szCs w:val="1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Janiga</dc:creator>
  <cp:keywords/>
  <dc:description/>
  <cp:lastModifiedBy>Przemysław Janiga</cp:lastModifiedBy>
  <cp:revision>3</cp:revision>
  <cp:lastPrinted>2021-03-15T14:55:00Z</cp:lastPrinted>
  <dcterms:created xsi:type="dcterms:W3CDTF">2021-03-16T13:29:00Z</dcterms:created>
  <dcterms:modified xsi:type="dcterms:W3CDTF">2021-03-16T13:35:00Z</dcterms:modified>
</cp:coreProperties>
</file>